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425B3" w14:textId="1E32D0FE" w:rsidR="00E7372F" w:rsidRPr="002D320E" w:rsidRDefault="002D320E" w:rsidP="002D320E">
      <w:pPr>
        <w:spacing w:after="0"/>
        <w:jc w:val="both"/>
      </w:pPr>
      <w:bookmarkStart w:id="0" w:name="_GoBack"/>
      <w:bookmarkEnd w:id="0"/>
      <w:r w:rsidRPr="002D320E">
        <w:rPr>
          <w:rFonts w:cstheme="minorHAnsi"/>
        </w:rPr>
        <w:t>Na podlagi 15</w:t>
      </w:r>
      <w:r w:rsidR="00E7372F" w:rsidRPr="002D320E">
        <w:rPr>
          <w:rFonts w:cstheme="minorHAnsi"/>
        </w:rPr>
        <w:t xml:space="preserve">. </w:t>
      </w:r>
      <w:r w:rsidR="0035675B" w:rsidRPr="002D320E">
        <w:rPr>
          <w:rFonts w:cstheme="minorHAnsi"/>
        </w:rPr>
        <w:t>č</w:t>
      </w:r>
      <w:r w:rsidR="00E7372F" w:rsidRPr="002D320E">
        <w:rPr>
          <w:rFonts w:cstheme="minorHAnsi"/>
        </w:rPr>
        <w:t>lena</w:t>
      </w:r>
      <w:r w:rsidRPr="002D320E">
        <w:rPr>
          <w:rFonts w:cstheme="minorHAnsi"/>
        </w:rPr>
        <w:t xml:space="preserve"> </w:t>
      </w:r>
      <w:hyperlink r:id="rId10" w:history="1">
        <w:r w:rsidRPr="002D320E">
          <w:rPr>
            <w:rStyle w:val="Hiperpovezava"/>
            <w:rFonts w:cstheme="minorHAnsi"/>
            <w:color w:val="auto"/>
          </w:rPr>
          <w:t>Statuta Občine Kidričevo</w:t>
        </w:r>
      </w:hyperlink>
      <w:r w:rsidRPr="002D320E">
        <w:rPr>
          <w:rFonts w:cstheme="minorHAnsi"/>
        </w:rPr>
        <w:t xml:space="preserve"> (Uradno glasilo slovenskih občin, št. 62/16, 16/18) </w:t>
      </w:r>
      <w:r w:rsidR="0035675B" w:rsidRPr="002D320E">
        <w:rPr>
          <w:rFonts w:cstheme="minorHAnsi"/>
        </w:rPr>
        <w:t>j</w:t>
      </w:r>
      <w:r w:rsidR="00E7372F" w:rsidRPr="002D320E">
        <w:rPr>
          <w:rFonts w:cstheme="minorHAnsi"/>
        </w:rPr>
        <w:t>e</w:t>
      </w:r>
      <w:r w:rsidR="00E7372F" w:rsidRPr="002D320E">
        <w:t xml:space="preserve"> Obči</w:t>
      </w:r>
      <w:r w:rsidR="00314580">
        <w:t>nski svet Občine Kidričevo na _</w:t>
      </w:r>
      <w:r w:rsidR="00E7372F" w:rsidRPr="002D320E">
        <w:t>_ redni seji</w:t>
      </w:r>
      <w:r w:rsidR="00314580">
        <w:t xml:space="preserve">, </w:t>
      </w:r>
      <w:r w:rsidR="00E7372F" w:rsidRPr="002D320E">
        <w:t xml:space="preserve"> dne</w:t>
      </w:r>
      <w:r w:rsidR="00314580" w:rsidRPr="002C7C57">
        <w:rPr>
          <w:rFonts w:ascii="Calibri" w:hAnsi="Calibri" w:cs="Calibri"/>
        </w:rPr>
        <w:t>__.</w:t>
      </w:r>
      <w:r w:rsidR="00314580" w:rsidRPr="002C7C57">
        <w:rPr>
          <w:rFonts w:ascii="Calibri" w:eastAsia="Calibri" w:hAnsi="Calibri" w:cs="Calibri"/>
        </w:rPr>
        <w:t xml:space="preserve"> </w:t>
      </w:r>
      <w:r w:rsidR="00314580" w:rsidRPr="002C7C57">
        <w:rPr>
          <w:rFonts w:ascii="Calibri" w:hAnsi="Calibri" w:cs="Calibri"/>
        </w:rPr>
        <w:t>__.</w:t>
      </w:r>
      <w:r w:rsidR="00314580" w:rsidRPr="002C7C57">
        <w:rPr>
          <w:rFonts w:ascii="Calibri" w:eastAsia="Calibri" w:hAnsi="Calibri" w:cs="Calibri"/>
        </w:rPr>
        <w:t>2023</w:t>
      </w:r>
      <w:r w:rsidR="00314580">
        <w:rPr>
          <w:rFonts w:ascii="Calibri" w:eastAsia="Calibri" w:hAnsi="Calibri" w:cs="Calibri"/>
        </w:rPr>
        <w:t xml:space="preserve">, </w:t>
      </w:r>
      <w:r w:rsidR="00E7372F" w:rsidRPr="002D320E">
        <w:t>sprejel naslednjo</w:t>
      </w:r>
    </w:p>
    <w:p w14:paraId="607E0F77" w14:textId="77777777" w:rsidR="00E7372F" w:rsidRPr="002D320E" w:rsidRDefault="00E7372F" w:rsidP="00FE46DE">
      <w:pPr>
        <w:spacing w:after="0"/>
      </w:pPr>
    </w:p>
    <w:p w14:paraId="7FC2A63C" w14:textId="66CC239D" w:rsidR="0035675B" w:rsidRDefault="0035675B" w:rsidP="00FE46DE">
      <w:pPr>
        <w:spacing w:after="0"/>
        <w:jc w:val="center"/>
        <w:rPr>
          <w:b/>
          <w:bCs/>
        </w:rPr>
      </w:pPr>
    </w:p>
    <w:p w14:paraId="407F1B9F" w14:textId="77777777" w:rsidR="002D320E" w:rsidRPr="002D320E" w:rsidRDefault="002D320E" w:rsidP="00FE46DE">
      <w:pPr>
        <w:spacing w:after="0"/>
        <w:jc w:val="center"/>
        <w:rPr>
          <w:b/>
          <w:bCs/>
        </w:rPr>
      </w:pPr>
    </w:p>
    <w:p w14:paraId="3EFC10B4" w14:textId="77777777" w:rsidR="002D320E" w:rsidRPr="002D320E" w:rsidRDefault="00E7372F" w:rsidP="00FE46DE">
      <w:pPr>
        <w:spacing w:after="0"/>
        <w:jc w:val="center"/>
        <w:rPr>
          <w:b/>
          <w:bCs/>
        </w:rPr>
      </w:pPr>
      <w:r w:rsidRPr="002D320E">
        <w:rPr>
          <w:b/>
          <w:bCs/>
        </w:rPr>
        <w:t xml:space="preserve">OBVEZNO RAZLAGO </w:t>
      </w:r>
    </w:p>
    <w:p w14:paraId="0897DA14" w14:textId="47130037" w:rsidR="00E7372F" w:rsidRPr="002D320E" w:rsidRDefault="002F2890" w:rsidP="00FE46DE">
      <w:pPr>
        <w:spacing w:after="0"/>
        <w:jc w:val="center"/>
        <w:rPr>
          <w:b/>
          <w:bCs/>
        </w:rPr>
      </w:pPr>
      <w:r w:rsidRPr="002D320E">
        <w:rPr>
          <w:b/>
          <w:bCs/>
        </w:rPr>
        <w:t>ODLOKA O OBČINSKEM PODROBNEM PROSTORSKEM NAČRTU ZA VZHODNI DEL POSELITVENEGA OBMOČJA NJIVERCE P16-S4</w:t>
      </w:r>
      <w:r w:rsidR="00477778" w:rsidRPr="002D320E">
        <w:rPr>
          <w:b/>
          <w:bCs/>
        </w:rPr>
        <w:t xml:space="preserve"> </w:t>
      </w:r>
      <w:r w:rsidRPr="002D320E">
        <w:rPr>
          <w:b/>
          <w:bCs/>
        </w:rPr>
        <w:t>(STANOVANJSKA POZIDAVA IN MANJŠI ŠPORTNI PARK)</w:t>
      </w:r>
    </w:p>
    <w:p w14:paraId="15CAFCDF" w14:textId="05E6C304" w:rsidR="00D5004B" w:rsidRPr="002D320E" w:rsidRDefault="00D5004B" w:rsidP="00FE46DE">
      <w:pPr>
        <w:spacing w:after="0"/>
      </w:pPr>
    </w:p>
    <w:p w14:paraId="00D42CED" w14:textId="77777777" w:rsidR="002D320E" w:rsidRPr="002D320E" w:rsidRDefault="002D320E" w:rsidP="00FE46DE">
      <w:pPr>
        <w:spacing w:after="0"/>
      </w:pPr>
    </w:p>
    <w:p w14:paraId="5135FE45" w14:textId="2AFFB9AA" w:rsidR="00D5004B" w:rsidRPr="002D320E" w:rsidRDefault="00D5004B" w:rsidP="00FE46DE">
      <w:pPr>
        <w:pStyle w:val="Odstavekseznama"/>
        <w:numPr>
          <w:ilvl w:val="0"/>
          <w:numId w:val="2"/>
        </w:numPr>
        <w:spacing w:after="0"/>
        <w:jc w:val="center"/>
      </w:pPr>
    </w:p>
    <w:p w14:paraId="3671FB4B" w14:textId="537666AD" w:rsidR="00CD1D67" w:rsidRPr="002D320E" w:rsidRDefault="00CD1D67" w:rsidP="00A91EB0">
      <w:pPr>
        <w:spacing w:after="0"/>
        <w:jc w:val="both"/>
      </w:pPr>
      <w:r w:rsidRPr="002D320E">
        <w:t xml:space="preserve">Besedilo </w:t>
      </w:r>
      <w:r w:rsidR="004543EE" w:rsidRPr="002D320E">
        <w:t>11. in 13.</w:t>
      </w:r>
      <w:r w:rsidRPr="002D320E">
        <w:t xml:space="preserve"> </w:t>
      </w:r>
      <w:r w:rsidR="00EF6019" w:rsidRPr="002D320E">
        <w:t>člena</w:t>
      </w:r>
      <w:r w:rsidRPr="002D320E">
        <w:t xml:space="preserve"> Odloka o občinskem podrobnem </w:t>
      </w:r>
      <w:r w:rsidR="00EF6019" w:rsidRPr="002D320E">
        <w:t>prostorskem</w:t>
      </w:r>
      <w:r w:rsidRPr="002D320E">
        <w:t xml:space="preserve"> načrtu </w:t>
      </w:r>
      <w:r w:rsidR="00EF6019" w:rsidRPr="002D320E">
        <w:t xml:space="preserve">za vzhodni del poselitvenega območja Njiverce </w:t>
      </w:r>
      <w:r w:rsidR="00A91EB0" w:rsidRPr="002D320E">
        <w:t>P</w:t>
      </w:r>
      <w:r w:rsidR="00EF6019" w:rsidRPr="002D320E">
        <w:t>16-</w:t>
      </w:r>
      <w:r w:rsidR="00A91EB0" w:rsidRPr="002D320E">
        <w:t>S</w:t>
      </w:r>
      <w:r w:rsidR="00EF6019" w:rsidRPr="002D320E">
        <w:t>4 (stanovanjska pozidava in manjši športni park)</w:t>
      </w:r>
      <w:r w:rsidR="007517AF" w:rsidRPr="002D320E">
        <w:t xml:space="preserve"> (</w:t>
      </w:r>
      <w:r w:rsidR="00556FB5" w:rsidRPr="002D320E">
        <w:t>Uradno glasilo slovenskih občin, št. 11/2009, 16/2018; v nadaljevanju OPPN) določa:</w:t>
      </w:r>
    </w:p>
    <w:p w14:paraId="304AF331" w14:textId="77777777" w:rsidR="00F80749" w:rsidRPr="002D320E" w:rsidRDefault="00F80749" w:rsidP="00FE46DE">
      <w:pPr>
        <w:spacing w:after="0"/>
      </w:pPr>
    </w:p>
    <w:p w14:paraId="2CC1AE77" w14:textId="267A6279" w:rsidR="00F80749" w:rsidRPr="002D320E" w:rsidRDefault="00DA5930" w:rsidP="00FE46DE">
      <w:pPr>
        <w:spacing w:after="0"/>
        <w:jc w:val="center"/>
        <w:rPr>
          <w:b/>
          <w:bCs/>
        </w:rPr>
      </w:pPr>
      <w:r w:rsidRPr="002D320E">
        <w:rPr>
          <w:rFonts w:cstheme="minorHAnsi"/>
        </w:rPr>
        <w:t>»</w:t>
      </w:r>
      <w:r w:rsidR="00F80749" w:rsidRPr="002D320E">
        <w:rPr>
          <w:b/>
          <w:bCs/>
        </w:rPr>
        <w:t>11. člen</w:t>
      </w:r>
    </w:p>
    <w:p w14:paraId="1D4EE1DA" w14:textId="77777777" w:rsidR="00F80749" w:rsidRPr="002D320E" w:rsidRDefault="00F80749" w:rsidP="00FE46DE">
      <w:pPr>
        <w:spacing w:after="0"/>
        <w:jc w:val="center"/>
        <w:rPr>
          <w:b/>
          <w:bCs/>
        </w:rPr>
      </w:pPr>
      <w:r w:rsidRPr="002D320E">
        <w:rPr>
          <w:b/>
          <w:bCs/>
        </w:rPr>
        <w:t>(lege in velikosti objektov na zemljišču z njihovo funkcionalno, tehnično in oblikovno zasnovo  s pogoji za projektiranje)</w:t>
      </w:r>
    </w:p>
    <w:p w14:paraId="582AA4DB" w14:textId="77777777" w:rsidR="00E564C8" w:rsidRPr="002D320E" w:rsidRDefault="00E564C8" w:rsidP="00FE46DE">
      <w:pPr>
        <w:spacing w:after="0"/>
        <w:jc w:val="center"/>
        <w:rPr>
          <w:b/>
          <w:bCs/>
        </w:rPr>
      </w:pPr>
    </w:p>
    <w:p w14:paraId="23B24C62" w14:textId="621B87F2" w:rsidR="00F80749" w:rsidRPr="002D320E" w:rsidRDefault="005E718A" w:rsidP="00FE46DE">
      <w:pPr>
        <w:spacing w:after="0"/>
        <w:ind w:firstLine="284"/>
        <w:jc w:val="both"/>
      </w:pPr>
      <w:r w:rsidRPr="002D320E">
        <w:t>U</w:t>
      </w:r>
      <w:r w:rsidR="00F80749" w:rsidRPr="002D320E">
        <w:t>strezna usmeritev slemena daljšega dela stavbe je praviloma severovzhod - jugozahod.</w:t>
      </w:r>
    </w:p>
    <w:p w14:paraId="1569BB91" w14:textId="279A5F9F" w:rsidR="005E718A" w:rsidRPr="002D320E" w:rsidRDefault="00F80749" w:rsidP="00FE46DE">
      <w:pPr>
        <w:spacing w:after="0"/>
        <w:ind w:firstLine="284"/>
        <w:jc w:val="both"/>
      </w:pPr>
      <w:r w:rsidRPr="002D320E">
        <w:t>Najmanjši odmik stavbe od meje cestnega telesa znaša 4,0 m</w:t>
      </w:r>
      <w:r w:rsidR="00FE46DE" w:rsidRPr="002D320E">
        <w:t>.</w:t>
      </w:r>
    </w:p>
    <w:p w14:paraId="6D2B067B" w14:textId="76CF9A92" w:rsidR="00F80749" w:rsidRPr="002D320E" w:rsidRDefault="00F80749" w:rsidP="00FE46DE">
      <w:pPr>
        <w:spacing w:after="0"/>
        <w:ind w:firstLine="284"/>
        <w:jc w:val="both"/>
      </w:pPr>
      <w:r w:rsidRPr="002D320E">
        <w:t>Razmerje tlorisnih stranic osnovnega pravokotnika stanovanjskega objekta se dopušča vsaj 1:1,25, ki ga je dopustno dograjevati  po daljši strani.</w:t>
      </w:r>
    </w:p>
    <w:p w14:paraId="00E40081" w14:textId="21888D97" w:rsidR="00F80749" w:rsidRPr="002D320E" w:rsidRDefault="00F80749" w:rsidP="00FE46DE">
      <w:pPr>
        <w:spacing w:after="0"/>
        <w:ind w:firstLine="284"/>
        <w:jc w:val="both"/>
      </w:pPr>
      <w:r w:rsidRPr="002D320E">
        <w:t>Posamezno stanovanjsko stavbo se dopušča graditi v oddaljenosti 4 m od tlorisne linije kapi in več od parcelnih mej brez posebnih pogojev - zadoščeno mora biti sanitarnim in požarnim zahtevam oziroma ne smejo s tem biti prizadete koristi soseda.</w:t>
      </w:r>
    </w:p>
    <w:p w14:paraId="3EB9FA3A" w14:textId="055EEF27" w:rsidR="00F80749" w:rsidRPr="002D320E" w:rsidRDefault="00F80749" w:rsidP="00FE46DE">
      <w:pPr>
        <w:spacing w:after="0"/>
        <w:ind w:firstLine="284"/>
        <w:jc w:val="both"/>
      </w:pPr>
      <w:r w:rsidRPr="002D320E">
        <w:t>Vrstne hiše se kot skupino dopušča graditi v oddaljenosti 4 m in več od tlorisne linije kapi do parcelnih mej brez posebnih pogojev – zadoščeno mora biti sanitarnim in požarnim zahtevam oziroma ne smejo s tem biti prizadete koristi soseda.</w:t>
      </w:r>
    </w:p>
    <w:p w14:paraId="36C017B5" w14:textId="60CCBA9B" w:rsidR="00F80749" w:rsidRPr="002D320E" w:rsidRDefault="00F80749" w:rsidP="00FE46DE">
      <w:pPr>
        <w:spacing w:after="0"/>
        <w:ind w:firstLine="284"/>
        <w:jc w:val="both"/>
      </w:pPr>
      <w:r w:rsidRPr="002D320E">
        <w:t>Objekt ali nezahteven objekt, ki se gradi proti sosednjemu objektu na manjši razdalji, kot je višina višjega od objektov, mora imeti proti temu sosednjemu objektu ali nezahtevnemu objektu požarni zid ali pa mora biti s tehničnimi ukrepi onemogočen prenos požara z objekta na objekt.</w:t>
      </w:r>
    </w:p>
    <w:p w14:paraId="7CB534E6" w14:textId="5B116832" w:rsidR="00F80749" w:rsidRPr="002D320E" w:rsidRDefault="00F80749" w:rsidP="00FE46DE">
      <w:pPr>
        <w:spacing w:after="0"/>
        <w:ind w:firstLine="284"/>
        <w:jc w:val="both"/>
        <w:rPr>
          <w:b/>
          <w:bCs/>
        </w:rPr>
      </w:pPr>
      <w:r w:rsidRPr="002D320E">
        <w:rPr>
          <w:b/>
          <w:bCs/>
        </w:rPr>
        <w:t xml:space="preserve">Predvideni gabariti objektov (določeni so v 13. členu) imajo možnost širitve ob straneh, ki so oddaljene 4 ali več metrov od sosednje posestne meje parcele, ki ne pripada istemu lastniku, in v </w:t>
      </w:r>
      <w:proofErr w:type="spellStart"/>
      <w:r w:rsidRPr="002D320E">
        <w:rPr>
          <w:b/>
          <w:bCs/>
        </w:rPr>
        <w:t>etažnosti</w:t>
      </w:r>
      <w:proofErr w:type="spellEnd"/>
      <w:r w:rsidRPr="002D320E">
        <w:rPr>
          <w:b/>
          <w:bCs/>
        </w:rPr>
        <w:t>, enaki osnovnemu objektu.</w:t>
      </w:r>
    </w:p>
    <w:p w14:paraId="688970E1" w14:textId="688DBC9E" w:rsidR="00F80749" w:rsidRPr="002D320E" w:rsidRDefault="00F80749" w:rsidP="00FE46DE">
      <w:pPr>
        <w:spacing w:after="0"/>
        <w:ind w:firstLine="284"/>
        <w:jc w:val="both"/>
      </w:pPr>
      <w:r w:rsidRPr="002D320E">
        <w:t xml:space="preserve">Prostostoječa enostanovanjska </w:t>
      </w:r>
      <w:r w:rsidR="00FB429C" w:rsidRPr="002D320E">
        <w:t>h</w:t>
      </w:r>
      <w:r w:rsidRPr="002D320E">
        <w:t>iša je zasnovana kot pritlična z izkoriščeno mansardo ter garažo kot ločen pritlični del. Objekt je umeščen v prostor tako, da so bivalni prostori orientirani na južno oz. zahodno stran, servisni prostori in stopnišče so locirani na severni strani objekta. Dostop do objekta in vhod v objekt je predviden z vzhodne oziroma zahodne strani.</w:t>
      </w:r>
    </w:p>
    <w:p w14:paraId="403D2B1E" w14:textId="7BA6CB6A" w:rsidR="00F80749" w:rsidRPr="002D320E" w:rsidRDefault="00F80749" w:rsidP="00FE46DE">
      <w:pPr>
        <w:spacing w:after="0"/>
        <w:ind w:firstLine="284"/>
        <w:jc w:val="both"/>
      </w:pPr>
      <w:r w:rsidRPr="002D320E">
        <w:t>Garaža je predvidena na vzhodni oziroma zahodni strani objekta kot ločeni pritlični del. Predviden je tudi osebni prehod iz garaže v stanovanjski del.</w:t>
      </w:r>
    </w:p>
    <w:p w14:paraId="2FD92705" w14:textId="461400C0" w:rsidR="00F80749" w:rsidRPr="002D320E" w:rsidRDefault="00F80749" w:rsidP="00FE46DE">
      <w:pPr>
        <w:spacing w:after="0"/>
        <w:ind w:firstLine="284"/>
        <w:jc w:val="both"/>
      </w:pPr>
      <w:r w:rsidRPr="002D320E">
        <w:t>Vrstne hiše so zasnovane tako da so bivalni prostori orientirani na jug v dveh etažah ter garažo kot ločen objekt na severni strani.</w:t>
      </w:r>
    </w:p>
    <w:p w14:paraId="45FA07B1" w14:textId="77777777" w:rsidR="00E750FA" w:rsidRPr="002D320E" w:rsidRDefault="00F80749" w:rsidP="00FE46DE">
      <w:pPr>
        <w:spacing w:after="0"/>
        <w:ind w:firstLine="284"/>
        <w:jc w:val="both"/>
      </w:pPr>
      <w:r w:rsidRPr="002D320E">
        <w:t>Klubski objekt je zasnovan kot pritlični objekt s prostorom za druženje in zunanjo pokrito teraso ter tlakovanim prostorom za dovoz.</w:t>
      </w:r>
    </w:p>
    <w:p w14:paraId="7D4BE565" w14:textId="0B333161" w:rsidR="00F80749" w:rsidRPr="002D320E" w:rsidRDefault="00F80749" w:rsidP="00FE46DE">
      <w:pPr>
        <w:spacing w:after="0"/>
        <w:ind w:firstLine="284"/>
        <w:jc w:val="both"/>
      </w:pPr>
      <w:r w:rsidRPr="002D320E">
        <w:t>Ekološki otok je zasnovan kot ograjen prostor z nadstreškom in potrebnimi posodami za odpadke.</w:t>
      </w:r>
    </w:p>
    <w:p w14:paraId="0E0566F3" w14:textId="6753830B" w:rsidR="006E62C7" w:rsidRDefault="006E62C7" w:rsidP="00FE46DE">
      <w:pPr>
        <w:spacing w:after="0"/>
        <w:jc w:val="center"/>
        <w:rPr>
          <w:rFonts w:cstheme="minorHAnsi"/>
        </w:rPr>
      </w:pPr>
    </w:p>
    <w:p w14:paraId="09D72680" w14:textId="77777777" w:rsidR="002D320E" w:rsidRPr="002D320E" w:rsidRDefault="002D320E" w:rsidP="00FE46DE">
      <w:pPr>
        <w:spacing w:after="0"/>
        <w:jc w:val="center"/>
        <w:rPr>
          <w:rFonts w:cstheme="minorHAnsi"/>
        </w:rPr>
      </w:pPr>
    </w:p>
    <w:p w14:paraId="02900A79" w14:textId="0B426C7E" w:rsidR="006E62C7" w:rsidRPr="002D320E" w:rsidRDefault="006E62C7" w:rsidP="00FE46DE">
      <w:pPr>
        <w:spacing w:after="0"/>
        <w:jc w:val="center"/>
        <w:rPr>
          <w:rFonts w:cstheme="minorHAnsi"/>
          <w:b/>
          <w:bCs/>
        </w:rPr>
      </w:pPr>
      <w:r w:rsidRPr="002D320E">
        <w:rPr>
          <w:rFonts w:cstheme="minorHAnsi"/>
          <w:b/>
          <w:bCs/>
        </w:rPr>
        <w:lastRenderedPageBreak/>
        <w:t>13. člen</w:t>
      </w:r>
    </w:p>
    <w:p w14:paraId="564992F3" w14:textId="77777777" w:rsidR="006E62C7" w:rsidRPr="002D320E" w:rsidRDefault="006E62C7" w:rsidP="00FE46DE">
      <w:pPr>
        <w:spacing w:after="0"/>
        <w:jc w:val="center"/>
        <w:rPr>
          <w:rFonts w:cstheme="minorHAnsi"/>
          <w:b/>
          <w:bCs/>
        </w:rPr>
      </w:pPr>
      <w:r w:rsidRPr="002D320E">
        <w:rPr>
          <w:rFonts w:cstheme="minorHAnsi"/>
          <w:b/>
          <w:bCs/>
        </w:rPr>
        <w:t>(gabariti stavb)</w:t>
      </w:r>
    </w:p>
    <w:p w14:paraId="667EFF0F" w14:textId="47E82B5C" w:rsidR="006E62C7" w:rsidRPr="002D320E" w:rsidRDefault="006E62C7" w:rsidP="00FE46DE">
      <w:pPr>
        <w:spacing w:after="0"/>
        <w:ind w:firstLine="284"/>
        <w:jc w:val="both"/>
      </w:pPr>
      <w:r w:rsidRPr="002D320E">
        <w:t>Predvideni tlorisni gabariti objektov:</w:t>
      </w:r>
    </w:p>
    <w:p w14:paraId="14BA7664" w14:textId="04D1FACD" w:rsidR="006E62C7" w:rsidRPr="002D320E" w:rsidRDefault="006E62C7" w:rsidP="00FE46DE">
      <w:pPr>
        <w:pStyle w:val="Odstavekseznama"/>
        <w:numPr>
          <w:ilvl w:val="0"/>
          <w:numId w:val="1"/>
        </w:numPr>
        <w:spacing w:after="0"/>
        <w:ind w:left="851" w:hanging="283"/>
        <w:jc w:val="both"/>
        <w:rPr>
          <w:b/>
          <w:bCs/>
        </w:rPr>
      </w:pPr>
      <w:r w:rsidRPr="002D320E">
        <w:rPr>
          <w:b/>
          <w:bCs/>
        </w:rPr>
        <w:t>prostostoječe enostanovanjske hiše (oznaka objektov od 1 do 16):</w:t>
      </w:r>
      <w:r w:rsidR="001464BB" w:rsidRPr="002D320E">
        <w:rPr>
          <w:b/>
          <w:bCs/>
        </w:rPr>
        <w:t xml:space="preserve"> </w:t>
      </w:r>
      <w:r w:rsidRPr="002D320E">
        <w:rPr>
          <w:b/>
          <w:bCs/>
        </w:rPr>
        <w:t>tlorisna velikost 9 m x 12 m, z možnostjo širitve oziroma njenega povečanja do končne velikosti 13 m x 15 m;</w:t>
      </w:r>
    </w:p>
    <w:p w14:paraId="79FE7300" w14:textId="6B4FA210" w:rsidR="00A95F96" w:rsidRPr="002D320E" w:rsidRDefault="006E62C7" w:rsidP="00FE46DE">
      <w:pPr>
        <w:pStyle w:val="Odstavekseznama"/>
        <w:numPr>
          <w:ilvl w:val="0"/>
          <w:numId w:val="1"/>
        </w:numPr>
        <w:spacing w:after="0"/>
        <w:ind w:left="851" w:hanging="283"/>
        <w:jc w:val="both"/>
        <w:rPr>
          <w:b/>
          <w:bCs/>
        </w:rPr>
      </w:pPr>
      <w:r w:rsidRPr="002D320E">
        <w:rPr>
          <w:b/>
          <w:bCs/>
        </w:rPr>
        <w:t>vrstne hiše (oznaka objektov od 1a, 1b, 2a, 2b, 5a, 5b, 8a, 8b, 8c, 9a, 9b, 12a, 112b, 16a in 16b):</w:t>
      </w:r>
      <w:r w:rsidR="001464BB" w:rsidRPr="002D320E">
        <w:rPr>
          <w:b/>
          <w:bCs/>
        </w:rPr>
        <w:t xml:space="preserve"> </w:t>
      </w:r>
      <w:r w:rsidRPr="002D320E">
        <w:rPr>
          <w:b/>
          <w:bCs/>
        </w:rPr>
        <w:t>maksimalna tlorisna velikost ene enote vrstne hiše je 8 m x 13 m + 6 m x 6 m oz. 8 m x 12 m + 6 m x 6 m (razvidno iz grafične priloge – Ureditvena situacija)</w:t>
      </w:r>
      <w:r w:rsidR="00BA1CDC" w:rsidRPr="002D320E">
        <w:rPr>
          <w:b/>
          <w:bCs/>
        </w:rPr>
        <w:t>.</w:t>
      </w:r>
    </w:p>
    <w:p w14:paraId="07BE5557" w14:textId="25C85CF8" w:rsidR="006E62C7" w:rsidRPr="002D320E" w:rsidRDefault="006E62C7" w:rsidP="00FE46DE">
      <w:pPr>
        <w:pStyle w:val="Odstavekseznama"/>
        <w:numPr>
          <w:ilvl w:val="0"/>
          <w:numId w:val="1"/>
        </w:numPr>
        <w:spacing w:after="0"/>
        <w:ind w:left="851" w:hanging="283"/>
        <w:jc w:val="both"/>
      </w:pPr>
      <w:r w:rsidRPr="002D320E">
        <w:t>klubski objekt (oznaka objekta K):</w:t>
      </w:r>
      <w:r w:rsidR="001464BB" w:rsidRPr="002D320E">
        <w:t xml:space="preserve"> </w:t>
      </w:r>
      <w:r w:rsidRPr="002D320E">
        <w:t>tlorisna velikost 12 m x 12 m, z atrijem nadstreška 6 m x 4 m brez možnosti širitve;</w:t>
      </w:r>
    </w:p>
    <w:p w14:paraId="6B71B1B0" w14:textId="0236B7BD" w:rsidR="006E62C7" w:rsidRPr="002D320E" w:rsidRDefault="006E62C7" w:rsidP="00FE46DE">
      <w:pPr>
        <w:pStyle w:val="Odstavekseznama"/>
        <w:numPr>
          <w:ilvl w:val="0"/>
          <w:numId w:val="1"/>
        </w:numPr>
        <w:spacing w:after="0"/>
        <w:ind w:left="851" w:hanging="283"/>
        <w:jc w:val="both"/>
      </w:pPr>
      <w:r w:rsidRPr="002D320E">
        <w:t xml:space="preserve">sestavljeni nezahtevni objekt (nadstrešek, garaža, lopa </w:t>
      </w:r>
      <w:proofErr w:type="spellStart"/>
      <w:r w:rsidRPr="002D320E">
        <w:t>itd</w:t>
      </w:r>
      <w:proofErr w:type="spellEnd"/>
      <w:r w:rsidRPr="002D320E">
        <w:t>) (oznaka objekta P):</w:t>
      </w:r>
      <w:r w:rsidR="001464BB" w:rsidRPr="002D320E">
        <w:t xml:space="preserve"> </w:t>
      </w:r>
      <w:r w:rsidRPr="002D320E">
        <w:t>tlorisna velikost 6 m x 5 m, brez možnosti širitve,</w:t>
      </w:r>
    </w:p>
    <w:p w14:paraId="1DEA74C5" w14:textId="77777777" w:rsidR="00F70760" w:rsidRPr="002D320E" w:rsidRDefault="006E62C7" w:rsidP="00FE46DE">
      <w:pPr>
        <w:pStyle w:val="Odstavekseznama"/>
        <w:numPr>
          <w:ilvl w:val="0"/>
          <w:numId w:val="1"/>
        </w:numPr>
        <w:spacing w:after="0"/>
        <w:ind w:left="851" w:hanging="283"/>
        <w:jc w:val="both"/>
      </w:pPr>
      <w:r w:rsidRPr="002D320E">
        <w:t>ekološki otok (oznaka objekta E):</w:t>
      </w:r>
      <w:r w:rsidR="001464BB" w:rsidRPr="002D320E">
        <w:t xml:space="preserve"> </w:t>
      </w:r>
      <w:r w:rsidRPr="002D320E">
        <w:t>tlorisna velikost 2 m x 5 m, brez možnosti širitve,</w:t>
      </w:r>
    </w:p>
    <w:p w14:paraId="1C19B400" w14:textId="099B17BD" w:rsidR="006E62C7" w:rsidRPr="002D320E" w:rsidRDefault="006E62C7" w:rsidP="00FE46DE">
      <w:pPr>
        <w:spacing w:after="0"/>
        <w:ind w:firstLine="284"/>
        <w:jc w:val="both"/>
      </w:pPr>
      <w:r w:rsidRPr="002D320E">
        <w:t>Objekti morajo ostati znotraj območja, omejenega z gradbeno mejo največje možne širitve objektov.</w:t>
      </w:r>
    </w:p>
    <w:p w14:paraId="2A833E83" w14:textId="363B11BD" w:rsidR="006E62C7" w:rsidRPr="002D320E" w:rsidRDefault="006E62C7" w:rsidP="00FE46DE">
      <w:pPr>
        <w:spacing w:after="0"/>
        <w:ind w:firstLine="284"/>
        <w:jc w:val="both"/>
      </w:pPr>
      <w:r w:rsidRPr="002D320E">
        <w:t xml:space="preserve">Višinski gabariti objektov ter kote terena in vhodov: </w:t>
      </w:r>
    </w:p>
    <w:p w14:paraId="5BAF1487" w14:textId="66AEB9E3" w:rsidR="00281830" w:rsidRPr="002D320E" w:rsidRDefault="006E62C7" w:rsidP="00FE46DE">
      <w:pPr>
        <w:pStyle w:val="Odstavekseznama"/>
        <w:numPr>
          <w:ilvl w:val="0"/>
          <w:numId w:val="1"/>
        </w:numPr>
        <w:spacing w:after="0"/>
        <w:ind w:left="851" w:hanging="283"/>
        <w:jc w:val="both"/>
      </w:pPr>
      <w:proofErr w:type="spellStart"/>
      <w:r w:rsidRPr="002D320E">
        <w:t>etažnost</w:t>
      </w:r>
      <w:proofErr w:type="spellEnd"/>
      <w:r w:rsidRPr="002D320E">
        <w:t>: K + P + M ali K + P + 1N, (pri bruto etažni višini 3,30 m); vsaka povečava, ki bi odstopala od predvidenih gabaritov, ni dopustna;</w:t>
      </w:r>
    </w:p>
    <w:p w14:paraId="31ECCC49" w14:textId="77777777" w:rsidR="00281830" w:rsidRPr="002D320E" w:rsidRDefault="006E62C7" w:rsidP="00FE46DE">
      <w:pPr>
        <w:pStyle w:val="Odstavekseznama"/>
        <w:numPr>
          <w:ilvl w:val="0"/>
          <w:numId w:val="1"/>
        </w:numPr>
        <w:spacing w:after="0"/>
        <w:ind w:left="851" w:hanging="283"/>
        <w:jc w:val="both"/>
      </w:pPr>
      <w:r w:rsidRPr="002D320E">
        <w:t>kleti se dopuščajo v povsem vkopani izvedbi;</w:t>
      </w:r>
    </w:p>
    <w:p w14:paraId="45E3D60B" w14:textId="1E8C0E0A" w:rsidR="00281830" w:rsidRPr="002D320E" w:rsidRDefault="006E62C7" w:rsidP="00FE46DE">
      <w:pPr>
        <w:pStyle w:val="Odstavekseznama"/>
        <w:numPr>
          <w:ilvl w:val="0"/>
          <w:numId w:val="1"/>
        </w:numPr>
        <w:spacing w:after="0"/>
        <w:ind w:left="851" w:hanging="283"/>
        <w:jc w:val="both"/>
      </w:pPr>
      <w:r w:rsidRPr="002D320E">
        <w:t>višinske kote vhodov v objekt in uvozov območja se prilagodijo</w:t>
      </w:r>
      <w:r w:rsidR="00BD6378" w:rsidRPr="002D320E">
        <w:t xml:space="preserve"> </w:t>
      </w:r>
      <w:r w:rsidRPr="002D320E">
        <w:t>končni višinski ureditvi prometnih povezav</w:t>
      </w:r>
      <w:r w:rsidR="00BD6378" w:rsidRPr="002D320E">
        <w:t>;</w:t>
      </w:r>
    </w:p>
    <w:p w14:paraId="0602B642" w14:textId="62D89DA6" w:rsidR="00281830" w:rsidRPr="002D320E" w:rsidRDefault="006E62C7" w:rsidP="00FE46DE">
      <w:pPr>
        <w:pStyle w:val="Odstavekseznama"/>
        <w:numPr>
          <w:ilvl w:val="0"/>
          <w:numId w:val="1"/>
        </w:numPr>
        <w:spacing w:after="0"/>
        <w:ind w:left="851" w:hanging="283"/>
        <w:jc w:val="both"/>
      </w:pPr>
      <w:r w:rsidRPr="002D320E">
        <w:t xml:space="preserve">klubski športni objekt je </w:t>
      </w:r>
      <w:proofErr w:type="spellStart"/>
      <w:r w:rsidRPr="002D320E">
        <w:t>etažnosti</w:t>
      </w:r>
      <w:proofErr w:type="spellEnd"/>
      <w:r w:rsidRPr="002D320E">
        <w:t xml:space="preserve"> P (pri bruto etažni višini 3,00 m)</w:t>
      </w:r>
      <w:r w:rsidR="00BD6378" w:rsidRPr="002D320E">
        <w:t>;</w:t>
      </w:r>
    </w:p>
    <w:p w14:paraId="665B505D" w14:textId="0026C417" w:rsidR="00BB271A" w:rsidRPr="002D320E" w:rsidRDefault="006E62C7" w:rsidP="00BB271A">
      <w:pPr>
        <w:pStyle w:val="Odstavekseznama"/>
        <w:numPr>
          <w:ilvl w:val="0"/>
          <w:numId w:val="1"/>
        </w:numPr>
        <w:spacing w:after="0"/>
        <w:ind w:left="851" w:hanging="283"/>
        <w:jc w:val="both"/>
      </w:pPr>
      <w:r w:rsidRPr="002D320E">
        <w:t xml:space="preserve">ekološki otok je </w:t>
      </w:r>
      <w:proofErr w:type="spellStart"/>
      <w:r w:rsidRPr="002D320E">
        <w:t>etažnosti</w:t>
      </w:r>
      <w:proofErr w:type="spellEnd"/>
      <w:r w:rsidRPr="002D320E">
        <w:t xml:space="preserve"> P (višina nadstreška 3,00 m).</w:t>
      </w:r>
      <w:r w:rsidR="00281830" w:rsidRPr="002D320E">
        <w:rPr>
          <w:rFonts w:cstheme="minorHAnsi"/>
        </w:rPr>
        <w:t>«</w:t>
      </w:r>
    </w:p>
    <w:p w14:paraId="1AD3FDE0" w14:textId="77777777" w:rsidR="00BB271A" w:rsidRPr="002D320E" w:rsidRDefault="00BB271A" w:rsidP="00BB271A">
      <w:pPr>
        <w:spacing w:after="0"/>
        <w:jc w:val="both"/>
      </w:pPr>
    </w:p>
    <w:p w14:paraId="2E407684" w14:textId="77777777" w:rsidR="00BB271A" w:rsidRPr="002D320E" w:rsidRDefault="00BB271A" w:rsidP="00BB271A">
      <w:pPr>
        <w:spacing w:after="0"/>
        <w:jc w:val="both"/>
      </w:pPr>
    </w:p>
    <w:p w14:paraId="3CEBDFD8" w14:textId="77777777" w:rsidR="00BB271A" w:rsidRPr="002D320E" w:rsidRDefault="00BB271A" w:rsidP="00BB271A">
      <w:pPr>
        <w:pStyle w:val="Odstavekseznama"/>
        <w:numPr>
          <w:ilvl w:val="0"/>
          <w:numId w:val="2"/>
        </w:numPr>
        <w:spacing w:after="0"/>
        <w:jc w:val="center"/>
      </w:pPr>
    </w:p>
    <w:p w14:paraId="448A2ADD" w14:textId="6DA398DB" w:rsidR="00FE46DE" w:rsidRPr="002D320E" w:rsidRDefault="00BB271A" w:rsidP="00FE46DE">
      <w:pPr>
        <w:spacing w:after="0"/>
        <w:ind w:firstLine="284"/>
        <w:jc w:val="both"/>
      </w:pPr>
      <w:r w:rsidRPr="002D320E">
        <w:t>Za 11. in 13. člen Odloka o OPPN se poda naslednja obvezna razlaga:</w:t>
      </w:r>
    </w:p>
    <w:p w14:paraId="09DBCDE8" w14:textId="7F5F1CF8" w:rsidR="00BB271A" w:rsidRPr="002D320E" w:rsidRDefault="00426DA3" w:rsidP="00FE46DE">
      <w:pPr>
        <w:spacing w:after="0"/>
        <w:ind w:firstLine="284"/>
        <w:jc w:val="both"/>
      </w:pPr>
      <w:r w:rsidRPr="002D320E">
        <w:t xml:space="preserve">Glede na določbe </w:t>
      </w:r>
      <w:r w:rsidR="0059667B" w:rsidRPr="002D320E">
        <w:t>sedmega</w:t>
      </w:r>
      <w:r w:rsidR="006E75DE" w:rsidRPr="002D320E">
        <w:t xml:space="preserve"> </w:t>
      </w:r>
      <w:r w:rsidR="00A679A4" w:rsidRPr="002D320E">
        <w:t>odstavka 11. člena OPPN je dopustn</w:t>
      </w:r>
      <w:r w:rsidR="0047377B" w:rsidRPr="002D320E">
        <w:t>o</w:t>
      </w:r>
      <w:r w:rsidR="00A679A4" w:rsidRPr="002D320E">
        <w:t xml:space="preserve"> </w:t>
      </w:r>
      <w:r w:rsidR="000750AE" w:rsidRPr="002D320E">
        <w:t>odstopanje od</w:t>
      </w:r>
      <w:r w:rsidR="0047377B" w:rsidRPr="002D320E">
        <w:t xml:space="preserve"> gabaritov </w:t>
      </w:r>
      <w:r w:rsidR="006B534A" w:rsidRPr="002D320E">
        <w:t xml:space="preserve">objektov </w:t>
      </w:r>
      <w:r w:rsidR="003825C6" w:rsidRPr="002D320E">
        <w:t xml:space="preserve">opredeljenih </w:t>
      </w:r>
      <w:r w:rsidR="000750AE" w:rsidRPr="002D320E">
        <w:t xml:space="preserve">v </w:t>
      </w:r>
      <w:r w:rsidR="00A61E24" w:rsidRPr="002D320E">
        <w:t>prvi in drugi alineji prvega</w:t>
      </w:r>
      <w:r w:rsidR="00102F4D" w:rsidRPr="002D320E">
        <w:t xml:space="preserve"> odstavk</w:t>
      </w:r>
      <w:r w:rsidR="00A61E24" w:rsidRPr="002D320E">
        <w:t>a</w:t>
      </w:r>
      <w:r w:rsidR="000750AE" w:rsidRPr="002D320E">
        <w:t xml:space="preserve"> 13. člena</w:t>
      </w:r>
      <w:r w:rsidR="003D26F7" w:rsidRPr="002D320E">
        <w:t xml:space="preserve"> ter</w:t>
      </w:r>
      <w:r w:rsidR="00122C72" w:rsidRPr="002D320E">
        <w:t xml:space="preserve"> prikazov gradbene meje</w:t>
      </w:r>
      <w:r w:rsidR="003D26F7" w:rsidRPr="002D320E">
        <w:t xml:space="preserve"> v grafičnem delu, </w:t>
      </w:r>
      <w:r w:rsidR="000B3D33" w:rsidRPr="002D320E">
        <w:t xml:space="preserve">v kolikor se območje prekoračitve </w:t>
      </w:r>
      <w:r w:rsidR="00762688" w:rsidRPr="002D320E">
        <w:t>gradbene</w:t>
      </w:r>
      <w:r w:rsidR="00122C72" w:rsidRPr="002D320E">
        <w:t xml:space="preserve"> meje</w:t>
      </w:r>
      <w:r w:rsidR="00FC6BB7" w:rsidRPr="002D320E">
        <w:t xml:space="preserve"> izvede </w:t>
      </w:r>
      <w:r w:rsidR="00641426" w:rsidRPr="002D320E">
        <w:t>na delih</w:t>
      </w:r>
      <w:r w:rsidR="00FC6BB7" w:rsidRPr="002D320E">
        <w:t xml:space="preserve">, ki so oddaljene 4 ali več metrov od sosednje posestne meje parcele, ki ne pripada istemu lastniku, in v </w:t>
      </w:r>
      <w:proofErr w:type="spellStart"/>
      <w:r w:rsidR="00FC6BB7" w:rsidRPr="002D320E">
        <w:t>etažnosti</w:t>
      </w:r>
      <w:proofErr w:type="spellEnd"/>
      <w:r w:rsidR="00FC6BB7" w:rsidRPr="002D320E">
        <w:t>, enaki osnovnemu objektu.</w:t>
      </w:r>
      <w:r w:rsidR="00CA42E8" w:rsidRPr="002D320E">
        <w:t xml:space="preserve"> </w:t>
      </w:r>
      <w:r w:rsidR="00462FA8" w:rsidRPr="002D320E">
        <w:t xml:space="preserve">Območje prekoračitve gradbene meje se lahko izvede </w:t>
      </w:r>
      <w:r w:rsidR="009E071E" w:rsidRPr="002D320E">
        <w:t xml:space="preserve">do navidezno podaljšane </w:t>
      </w:r>
      <w:r w:rsidR="00F57665" w:rsidRPr="002D320E">
        <w:t xml:space="preserve">gradbene meje, ki je določena pravokotno na </w:t>
      </w:r>
      <w:r w:rsidR="00791052" w:rsidRPr="002D320E">
        <w:t>smer prekoračitve.</w:t>
      </w:r>
    </w:p>
    <w:p w14:paraId="485B82EF" w14:textId="6A3D6871" w:rsidR="00420234" w:rsidRPr="002D320E" w:rsidRDefault="00420234" w:rsidP="00FE46DE">
      <w:pPr>
        <w:spacing w:after="0"/>
        <w:ind w:firstLine="284"/>
        <w:jc w:val="both"/>
      </w:pPr>
    </w:p>
    <w:p w14:paraId="50DC98D5" w14:textId="77777777" w:rsidR="002D320E" w:rsidRPr="002D320E" w:rsidRDefault="002D320E" w:rsidP="00FE46DE">
      <w:pPr>
        <w:spacing w:after="0"/>
        <w:ind w:firstLine="284"/>
        <w:jc w:val="both"/>
      </w:pPr>
    </w:p>
    <w:p w14:paraId="530DCCF2" w14:textId="77777777" w:rsidR="00420234" w:rsidRPr="002D320E" w:rsidRDefault="00420234" w:rsidP="00420234">
      <w:pPr>
        <w:pStyle w:val="Odstavekseznama"/>
        <w:numPr>
          <w:ilvl w:val="0"/>
          <w:numId w:val="2"/>
        </w:numPr>
        <w:spacing w:after="0"/>
        <w:jc w:val="center"/>
      </w:pPr>
    </w:p>
    <w:p w14:paraId="1355EEC0" w14:textId="4251ECA6" w:rsidR="00420234" w:rsidRPr="002D320E" w:rsidRDefault="00CE75B3" w:rsidP="00FE46DE">
      <w:pPr>
        <w:spacing w:after="0"/>
        <w:ind w:firstLine="284"/>
        <w:jc w:val="both"/>
      </w:pPr>
      <w:r w:rsidRPr="002D320E">
        <w:t xml:space="preserve">Obvezna razlaga je sestavni del Odloka </w:t>
      </w:r>
      <w:r w:rsidR="00722B6E" w:rsidRPr="002D320E">
        <w:t xml:space="preserve">o občinskem podrobnem prostorskem načrtu za vzhodni del poselitvenega območja </w:t>
      </w:r>
      <w:r w:rsidR="00F91D48" w:rsidRPr="002D320E">
        <w:t>Njiverce</w:t>
      </w:r>
      <w:r w:rsidR="00722B6E" w:rsidRPr="002D320E">
        <w:t xml:space="preserve"> </w:t>
      </w:r>
      <w:r w:rsidR="00F91D48" w:rsidRPr="002D320E">
        <w:t>P</w:t>
      </w:r>
      <w:r w:rsidR="00722B6E" w:rsidRPr="002D320E">
        <w:t>16-</w:t>
      </w:r>
      <w:r w:rsidR="00F91D48" w:rsidRPr="002D320E">
        <w:t>S</w:t>
      </w:r>
      <w:r w:rsidR="00722B6E" w:rsidRPr="002D320E">
        <w:t>4 (stanovanjska pozidava in manjši športni park)</w:t>
      </w:r>
      <w:r w:rsidR="0019216B" w:rsidRPr="002D320E">
        <w:t>.</w:t>
      </w:r>
    </w:p>
    <w:p w14:paraId="368E38B2" w14:textId="39E00D2E" w:rsidR="0007466C" w:rsidRPr="002D320E" w:rsidRDefault="0007466C" w:rsidP="00FE46DE">
      <w:pPr>
        <w:spacing w:after="0"/>
        <w:ind w:firstLine="284"/>
        <w:jc w:val="both"/>
      </w:pPr>
    </w:p>
    <w:p w14:paraId="63666378" w14:textId="77777777" w:rsidR="002D320E" w:rsidRPr="002D320E" w:rsidRDefault="002D320E" w:rsidP="00FE46DE">
      <w:pPr>
        <w:spacing w:after="0"/>
        <w:ind w:firstLine="284"/>
        <w:jc w:val="both"/>
      </w:pPr>
    </w:p>
    <w:p w14:paraId="7988B129" w14:textId="77777777" w:rsidR="0007466C" w:rsidRPr="002D320E" w:rsidRDefault="0007466C" w:rsidP="0007466C">
      <w:pPr>
        <w:pStyle w:val="Odstavekseznama"/>
        <w:numPr>
          <w:ilvl w:val="0"/>
          <w:numId w:val="2"/>
        </w:numPr>
        <w:spacing w:after="0"/>
        <w:jc w:val="center"/>
      </w:pPr>
    </w:p>
    <w:p w14:paraId="74BABD03" w14:textId="0497B30A" w:rsidR="0007466C" w:rsidRPr="002D320E" w:rsidRDefault="0007466C" w:rsidP="00FE46DE">
      <w:pPr>
        <w:spacing w:after="0"/>
        <w:ind w:firstLine="284"/>
        <w:jc w:val="both"/>
      </w:pPr>
      <w:r w:rsidRPr="002D320E">
        <w:t xml:space="preserve">Ta obvezna razlaga začne veljati naslednji dan po </w:t>
      </w:r>
      <w:r w:rsidR="00A80020" w:rsidRPr="002D320E">
        <w:t>objavi v Uradnem glasilu slovenskih občin.</w:t>
      </w:r>
    </w:p>
    <w:p w14:paraId="302E2270" w14:textId="6A02D08D" w:rsidR="00A80020" w:rsidRPr="002D320E" w:rsidRDefault="00A80020" w:rsidP="00FE46DE">
      <w:pPr>
        <w:spacing w:after="0"/>
        <w:ind w:firstLine="284"/>
        <w:jc w:val="both"/>
      </w:pPr>
    </w:p>
    <w:p w14:paraId="0907A8E3" w14:textId="77777777" w:rsidR="002D320E" w:rsidRPr="002D320E" w:rsidRDefault="002D320E" w:rsidP="00FE46DE">
      <w:pPr>
        <w:spacing w:after="0"/>
        <w:ind w:firstLine="284"/>
        <w:jc w:val="both"/>
      </w:pPr>
    </w:p>
    <w:p w14:paraId="18330789" w14:textId="46F98768" w:rsidR="00A80020" w:rsidRPr="002D320E" w:rsidRDefault="00A80020" w:rsidP="00FE46DE">
      <w:pPr>
        <w:spacing w:after="0"/>
        <w:ind w:firstLine="284"/>
        <w:jc w:val="both"/>
      </w:pPr>
      <w:r w:rsidRPr="002D320E">
        <w:t>Številka:</w:t>
      </w:r>
      <w:r w:rsidR="002D320E" w:rsidRPr="002D320E">
        <w:t xml:space="preserve"> 3500-10/2016-8</w:t>
      </w:r>
    </w:p>
    <w:p w14:paraId="684BED06" w14:textId="3FEC9912" w:rsidR="00A80020" w:rsidRPr="002D320E" w:rsidRDefault="00A80020" w:rsidP="00FE46DE">
      <w:pPr>
        <w:spacing w:after="0"/>
        <w:ind w:firstLine="284"/>
        <w:jc w:val="both"/>
      </w:pPr>
      <w:r w:rsidRPr="002D320E">
        <w:t>Datum:</w:t>
      </w:r>
      <w:r w:rsidR="00314580" w:rsidRPr="00314580">
        <w:rPr>
          <w:rFonts w:cstheme="minorHAnsi"/>
        </w:rPr>
        <w:t xml:space="preserve"> </w:t>
      </w:r>
      <w:r w:rsidR="00314580">
        <w:rPr>
          <w:rFonts w:cstheme="minorHAnsi"/>
        </w:rPr>
        <w:t>__.__.2023</w:t>
      </w:r>
    </w:p>
    <w:p w14:paraId="723DB3C3" w14:textId="77777777" w:rsidR="00A80020" w:rsidRPr="002D320E" w:rsidRDefault="00A80020" w:rsidP="003B2B0E">
      <w:pPr>
        <w:pBdr>
          <w:bottom w:val="single" w:sz="12" w:space="1" w:color="auto"/>
        </w:pBdr>
        <w:spacing w:after="0"/>
        <w:ind w:firstLine="284"/>
        <w:jc w:val="center"/>
      </w:pPr>
    </w:p>
    <w:p w14:paraId="776C79F4" w14:textId="1DECA663" w:rsidR="003B2B0E" w:rsidRDefault="003B2B0E" w:rsidP="00FE46DE">
      <w:pPr>
        <w:spacing w:after="0"/>
        <w:ind w:firstLine="284"/>
        <w:jc w:val="both"/>
      </w:pPr>
    </w:p>
    <w:p w14:paraId="1AB7EC0C" w14:textId="77777777" w:rsidR="002D320E" w:rsidRPr="002D320E" w:rsidRDefault="002D320E" w:rsidP="00FE46DE">
      <w:pPr>
        <w:spacing w:after="0"/>
        <w:ind w:firstLine="284"/>
        <w:jc w:val="both"/>
      </w:pPr>
    </w:p>
    <w:p w14:paraId="205E230A" w14:textId="7E9D5944" w:rsidR="003B2B0E" w:rsidRPr="002D320E" w:rsidRDefault="003B2B0E" w:rsidP="003B2B0E">
      <w:pPr>
        <w:spacing w:after="0"/>
        <w:ind w:firstLine="284"/>
        <w:jc w:val="center"/>
        <w:rPr>
          <w:b/>
          <w:bCs/>
        </w:rPr>
      </w:pPr>
      <w:r w:rsidRPr="002D320E">
        <w:rPr>
          <w:b/>
          <w:bCs/>
        </w:rPr>
        <w:lastRenderedPageBreak/>
        <w:t>Obrazložitev:</w:t>
      </w:r>
    </w:p>
    <w:p w14:paraId="606056FD" w14:textId="77777777" w:rsidR="003B2B0E" w:rsidRPr="002D320E" w:rsidRDefault="003B2B0E" w:rsidP="003B2B0E">
      <w:pPr>
        <w:spacing w:after="0"/>
        <w:ind w:firstLine="284"/>
        <w:jc w:val="center"/>
        <w:rPr>
          <w:b/>
          <w:bCs/>
        </w:rPr>
      </w:pPr>
    </w:p>
    <w:p w14:paraId="7F933C08" w14:textId="522FF6CF" w:rsidR="003B2B0E" w:rsidRPr="002D320E" w:rsidRDefault="007C64FE" w:rsidP="002D320E">
      <w:pPr>
        <w:spacing w:after="0"/>
        <w:jc w:val="both"/>
      </w:pPr>
      <w:r w:rsidRPr="002D320E">
        <w:t xml:space="preserve">Predlog obvezne razlage 11. in 13. člena Odloka </w:t>
      </w:r>
      <w:r w:rsidR="00F56ECC" w:rsidRPr="002D320E">
        <w:t>o občinskem podrobnem prostorskem načrtu za vzhodni del poselitvenega območja Njiverce P16-S4 (stanovanjska pozidava in manjši športni park)</w:t>
      </w:r>
      <w:r w:rsidR="008045EF" w:rsidRPr="002D320E">
        <w:t xml:space="preserve"> (Uradno glasilo slovenskih občin, št. 11/2009, 16/2018: v nadaljevanju OPPN</w:t>
      </w:r>
      <w:r w:rsidR="00314580">
        <w:t>)</w:t>
      </w:r>
      <w:r w:rsidR="008045EF" w:rsidRPr="002D320E">
        <w:t xml:space="preserve"> je pripravljen na pobudo </w:t>
      </w:r>
      <w:r w:rsidR="00EF73DD" w:rsidRPr="002D320E">
        <w:t xml:space="preserve">investitorja na območju OPPN, saj je v postopku pridobivanja gradbenega dovoljenja </w:t>
      </w:r>
      <w:r w:rsidR="000E0754" w:rsidRPr="002D320E">
        <w:t xml:space="preserve">ugotovljeno neskladje med določilom </w:t>
      </w:r>
      <w:r w:rsidR="00056A7B" w:rsidRPr="002D320E">
        <w:t xml:space="preserve">sedmega odstavka 11. člena </w:t>
      </w:r>
      <w:r w:rsidR="00C747A3" w:rsidRPr="002D320E">
        <w:t>ter</w:t>
      </w:r>
      <w:r w:rsidR="00056A7B" w:rsidRPr="002D320E">
        <w:t xml:space="preserve"> </w:t>
      </w:r>
      <w:r w:rsidR="00A61E24" w:rsidRPr="002D320E">
        <w:t>prvo</w:t>
      </w:r>
      <w:r w:rsidR="00C747A3" w:rsidRPr="002D320E">
        <w:t xml:space="preserve"> in drugo alinejo prvega</w:t>
      </w:r>
      <w:r w:rsidR="004413AA" w:rsidRPr="002D320E">
        <w:t xml:space="preserve"> odstavk</w:t>
      </w:r>
      <w:r w:rsidR="00C747A3" w:rsidRPr="002D320E">
        <w:t>a</w:t>
      </w:r>
      <w:r w:rsidR="002A70FD" w:rsidRPr="002D320E">
        <w:t xml:space="preserve"> 13. člena</w:t>
      </w:r>
      <w:r w:rsidR="00D13ADA" w:rsidRPr="002D320E">
        <w:t xml:space="preserve"> odloka. </w:t>
      </w:r>
    </w:p>
    <w:p w14:paraId="52CBD0C7" w14:textId="70153BE8" w:rsidR="002D320E" w:rsidRPr="002D320E" w:rsidRDefault="002D320E" w:rsidP="002D320E">
      <w:pPr>
        <w:spacing w:after="0"/>
        <w:jc w:val="both"/>
      </w:pPr>
    </w:p>
    <w:p w14:paraId="1FB7E8EE" w14:textId="77777777" w:rsidR="002D320E" w:rsidRPr="002D320E" w:rsidRDefault="002D320E" w:rsidP="002D320E">
      <w:pPr>
        <w:jc w:val="both"/>
      </w:pPr>
      <w:r w:rsidRPr="002D320E">
        <w:t>V kolikor pride pri razumevanju posameznih določil odloka zaradi ne dovolj jasno zapisanih določil do določenih razhajanj oziroma dvoumnega razumevanja, ki dopušča različna tolmačenja, lahko občinski svet sprejme obvezno razlago. Z obvezno razlago se določila odloka ne spreminjajo vsebinsko, temveč se le podrobneje obrazložijo oziroma pojasnijo. Kadar se določila odloka spreminjajo vsebinsko, je potrebno izvesti redni postopek sprememb in dopolnitev odloka, pri katerem sodelujejo tudi vsi pristojni nosilci urejanja prostora in zainteresirana javnost.</w:t>
      </w:r>
    </w:p>
    <w:p w14:paraId="4CDB9EBA" w14:textId="77777777" w:rsidR="002D320E" w:rsidRPr="002D320E" w:rsidRDefault="002D320E" w:rsidP="002D320E">
      <w:pPr>
        <w:spacing w:after="0"/>
        <w:jc w:val="both"/>
      </w:pPr>
      <w:r w:rsidRPr="002D320E">
        <w:t>V izogib različnim interpretacijam navedenih členov, se predlaga sprejem navedene obvezne razlage.</w:t>
      </w:r>
    </w:p>
    <w:p w14:paraId="79A81668" w14:textId="602D2CDB" w:rsidR="002D320E" w:rsidRDefault="002D320E" w:rsidP="00F56ECC">
      <w:pPr>
        <w:spacing w:after="0"/>
        <w:jc w:val="both"/>
      </w:pPr>
    </w:p>
    <w:p w14:paraId="2691600B" w14:textId="46BCC074" w:rsidR="00314580" w:rsidRDefault="00314580" w:rsidP="00314580">
      <w:pPr>
        <w:spacing w:after="0" w:line="240" w:lineRule="auto"/>
        <w:jc w:val="both"/>
      </w:pPr>
    </w:p>
    <w:p w14:paraId="1A172705" w14:textId="77777777" w:rsidR="00314580" w:rsidRPr="002C7C57" w:rsidRDefault="00314580" w:rsidP="00314580">
      <w:pPr>
        <w:spacing w:after="0" w:line="240" w:lineRule="auto"/>
        <w:rPr>
          <w:rFonts w:cstheme="minorHAnsi"/>
        </w:rPr>
      </w:pPr>
    </w:p>
    <w:p w14:paraId="0540B274" w14:textId="77777777" w:rsidR="00314580" w:rsidRPr="002C7C57" w:rsidRDefault="00314580" w:rsidP="00314580">
      <w:pPr>
        <w:spacing w:after="0" w:line="240" w:lineRule="auto"/>
        <w:rPr>
          <w:rFonts w:cstheme="minorHAnsi"/>
        </w:rPr>
      </w:pPr>
      <w:r w:rsidRPr="002C7C57">
        <w:rPr>
          <w:rFonts w:cstheme="minorHAnsi"/>
        </w:rPr>
        <w:t>Pripravila:</w:t>
      </w:r>
    </w:p>
    <w:p w14:paraId="3EFB45C8" w14:textId="77777777" w:rsidR="00314580" w:rsidRDefault="00314580" w:rsidP="00314580">
      <w:pPr>
        <w:spacing w:after="0" w:line="240" w:lineRule="auto"/>
        <w:rPr>
          <w:rFonts w:cstheme="minorHAnsi"/>
        </w:rPr>
      </w:pPr>
      <w:r w:rsidRPr="002C7C57">
        <w:rPr>
          <w:rFonts w:cstheme="minorHAnsi"/>
        </w:rPr>
        <w:t xml:space="preserve">Ksenija Sagadin, </w:t>
      </w:r>
    </w:p>
    <w:p w14:paraId="70DE365D" w14:textId="78D4297D" w:rsidR="00314580" w:rsidRDefault="00314580" w:rsidP="00314580">
      <w:pPr>
        <w:spacing w:after="0" w:line="240" w:lineRule="auto"/>
        <w:rPr>
          <w:rFonts w:cstheme="minorHAnsi"/>
        </w:rPr>
      </w:pPr>
      <w:r w:rsidRPr="002C7C57">
        <w:rPr>
          <w:rFonts w:cstheme="minorHAnsi"/>
        </w:rPr>
        <w:t>občinska urbanistka</w:t>
      </w:r>
    </w:p>
    <w:p w14:paraId="67F769A9" w14:textId="77777777" w:rsidR="00314580" w:rsidRPr="002C7C57" w:rsidRDefault="00314580" w:rsidP="00314580">
      <w:pPr>
        <w:spacing w:after="0" w:line="240" w:lineRule="auto"/>
        <w:ind w:left="851" w:firstLine="425"/>
        <w:rPr>
          <w:rFonts w:cstheme="minorHAnsi"/>
        </w:rPr>
      </w:pPr>
    </w:p>
    <w:p w14:paraId="57A80530" w14:textId="7E1ACE11" w:rsidR="00314580" w:rsidRPr="002C7C57" w:rsidRDefault="00314580" w:rsidP="00314580">
      <w:pPr>
        <w:spacing w:after="0" w:line="240" w:lineRule="auto"/>
        <w:ind w:left="851" w:firstLine="425"/>
        <w:jc w:val="center"/>
        <w:rPr>
          <w:rFonts w:cstheme="minorHAnsi"/>
        </w:rPr>
      </w:pPr>
      <w:r>
        <w:rPr>
          <w:rFonts w:cstheme="minorHAnsi"/>
        </w:rPr>
        <w:t xml:space="preserve">                                                            </w:t>
      </w:r>
      <w:r w:rsidRPr="002C7C57">
        <w:rPr>
          <w:rFonts w:cstheme="minorHAnsi"/>
        </w:rPr>
        <w:t>Anton LESKOVAR,</w:t>
      </w:r>
    </w:p>
    <w:p w14:paraId="63DBE245" w14:textId="77777777" w:rsidR="00314580" w:rsidRPr="002C7C57" w:rsidRDefault="00314580" w:rsidP="00314580">
      <w:pPr>
        <w:spacing w:after="0" w:line="240" w:lineRule="auto"/>
        <w:ind w:left="851" w:firstLine="425"/>
        <w:rPr>
          <w:rFonts w:cstheme="minorHAnsi"/>
        </w:rPr>
      </w:pPr>
      <w:r w:rsidRPr="002C7C57">
        <w:rPr>
          <w:rFonts w:cstheme="minorHAnsi"/>
        </w:rPr>
        <w:tab/>
      </w:r>
      <w:r w:rsidRPr="002C7C57">
        <w:rPr>
          <w:rFonts w:cstheme="minorHAnsi"/>
        </w:rPr>
        <w:tab/>
      </w:r>
      <w:r w:rsidRPr="002C7C57">
        <w:rPr>
          <w:rFonts w:cstheme="minorHAnsi"/>
        </w:rPr>
        <w:tab/>
      </w:r>
      <w:r w:rsidRPr="002C7C57">
        <w:rPr>
          <w:rFonts w:cstheme="minorHAnsi"/>
        </w:rPr>
        <w:tab/>
      </w:r>
      <w:r w:rsidRPr="002C7C57">
        <w:rPr>
          <w:rFonts w:cstheme="minorHAnsi"/>
        </w:rPr>
        <w:tab/>
      </w:r>
      <w:r w:rsidRPr="002C7C57">
        <w:rPr>
          <w:rFonts w:cstheme="minorHAnsi"/>
        </w:rPr>
        <w:tab/>
      </w:r>
      <w:r w:rsidRPr="002C7C57">
        <w:rPr>
          <w:rFonts w:cstheme="minorHAnsi"/>
        </w:rPr>
        <w:tab/>
        <w:t>župan Občine Kidričevo</w:t>
      </w:r>
    </w:p>
    <w:p w14:paraId="50F675EF" w14:textId="77777777" w:rsidR="00314580" w:rsidRPr="007C64FE" w:rsidRDefault="00314580" w:rsidP="00314580">
      <w:pPr>
        <w:spacing w:after="0"/>
        <w:ind w:left="851" w:firstLine="425"/>
        <w:jc w:val="both"/>
      </w:pPr>
    </w:p>
    <w:sectPr w:rsidR="00314580" w:rsidRPr="007C64F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29768" w14:textId="77777777" w:rsidR="00976256" w:rsidRDefault="00976256" w:rsidP="002D320E">
      <w:pPr>
        <w:spacing w:after="0" w:line="240" w:lineRule="auto"/>
      </w:pPr>
      <w:r>
        <w:separator/>
      </w:r>
    </w:p>
  </w:endnote>
  <w:endnote w:type="continuationSeparator" w:id="0">
    <w:p w14:paraId="3A9F631C" w14:textId="77777777" w:rsidR="00976256" w:rsidRDefault="00976256" w:rsidP="002D3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D7F8C" w14:textId="77777777" w:rsidR="00976256" w:rsidRDefault="00976256" w:rsidP="002D320E">
      <w:pPr>
        <w:spacing w:after="0" w:line="240" w:lineRule="auto"/>
      </w:pPr>
      <w:r>
        <w:separator/>
      </w:r>
    </w:p>
  </w:footnote>
  <w:footnote w:type="continuationSeparator" w:id="0">
    <w:p w14:paraId="42E6C008" w14:textId="77777777" w:rsidR="00976256" w:rsidRDefault="00976256" w:rsidP="002D3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B677C" w14:textId="42E029CE" w:rsidR="002D320E" w:rsidRDefault="002D320E" w:rsidP="002D320E">
    <w:pPr>
      <w:pStyle w:val="Glava"/>
      <w:jc w:val="right"/>
    </w:pPr>
    <w:r>
      <w:t>PREDLOG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9323A3"/>
    <w:multiLevelType w:val="hybridMultilevel"/>
    <w:tmpl w:val="1E587708"/>
    <w:lvl w:ilvl="0" w:tplc="D8BC60BA">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58471E1"/>
    <w:multiLevelType w:val="hybridMultilevel"/>
    <w:tmpl w:val="B560984E"/>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1F378DD"/>
    <w:multiLevelType w:val="hybridMultilevel"/>
    <w:tmpl w:val="6A909558"/>
    <w:lvl w:ilvl="0" w:tplc="CCE4D35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7E7C2419"/>
    <w:multiLevelType w:val="hybridMultilevel"/>
    <w:tmpl w:val="D01AF34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72F"/>
    <w:rsid w:val="00056A7B"/>
    <w:rsid w:val="0007466C"/>
    <w:rsid w:val="000750AE"/>
    <w:rsid w:val="000B00F3"/>
    <w:rsid w:val="000B3D33"/>
    <w:rsid w:val="000D0812"/>
    <w:rsid w:val="000E0754"/>
    <w:rsid w:val="00102F4D"/>
    <w:rsid w:val="00122C72"/>
    <w:rsid w:val="001464BB"/>
    <w:rsid w:val="0019216B"/>
    <w:rsid w:val="00252E5C"/>
    <w:rsid w:val="002718A3"/>
    <w:rsid w:val="002770F5"/>
    <w:rsid w:val="00281830"/>
    <w:rsid w:val="002A70FD"/>
    <w:rsid w:val="002D320E"/>
    <w:rsid w:val="002F26BE"/>
    <w:rsid w:val="002F2890"/>
    <w:rsid w:val="00314580"/>
    <w:rsid w:val="0035675B"/>
    <w:rsid w:val="003825C6"/>
    <w:rsid w:val="003B2B0E"/>
    <w:rsid w:val="003D26F7"/>
    <w:rsid w:val="00420234"/>
    <w:rsid w:val="00426DA3"/>
    <w:rsid w:val="004413AA"/>
    <w:rsid w:val="004543EE"/>
    <w:rsid w:val="00456B94"/>
    <w:rsid w:val="00462D07"/>
    <w:rsid w:val="00462FA8"/>
    <w:rsid w:val="0047377B"/>
    <w:rsid w:val="00477778"/>
    <w:rsid w:val="00556FB5"/>
    <w:rsid w:val="005940E7"/>
    <w:rsid w:val="0059667B"/>
    <w:rsid w:val="005E718A"/>
    <w:rsid w:val="00641426"/>
    <w:rsid w:val="006B3DDC"/>
    <w:rsid w:val="006B534A"/>
    <w:rsid w:val="006D062F"/>
    <w:rsid w:val="006E62C7"/>
    <w:rsid w:val="006E75DE"/>
    <w:rsid w:val="006F5111"/>
    <w:rsid w:val="00722B6E"/>
    <w:rsid w:val="007517AF"/>
    <w:rsid w:val="00762688"/>
    <w:rsid w:val="00791052"/>
    <w:rsid w:val="007A11E9"/>
    <w:rsid w:val="007C64FE"/>
    <w:rsid w:val="007F4204"/>
    <w:rsid w:val="008045EF"/>
    <w:rsid w:val="00950EAA"/>
    <w:rsid w:val="00976256"/>
    <w:rsid w:val="009B3335"/>
    <w:rsid w:val="009E071E"/>
    <w:rsid w:val="00A61E24"/>
    <w:rsid w:val="00A679A4"/>
    <w:rsid w:val="00A80020"/>
    <w:rsid w:val="00A91EB0"/>
    <w:rsid w:val="00A95F96"/>
    <w:rsid w:val="00B257E3"/>
    <w:rsid w:val="00BA0A52"/>
    <w:rsid w:val="00BA1CDC"/>
    <w:rsid w:val="00BA42B0"/>
    <w:rsid w:val="00BB271A"/>
    <w:rsid w:val="00BD6378"/>
    <w:rsid w:val="00C424F0"/>
    <w:rsid w:val="00C747A3"/>
    <w:rsid w:val="00CA42E8"/>
    <w:rsid w:val="00CD0231"/>
    <w:rsid w:val="00CD1D67"/>
    <w:rsid w:val="00CE75B3"/>
    <w:rsid w:val="00D13ADA"/>
    <w:rsid w:val="00D31B7C"/>
    <w:rsid w:val="00D3550D"/>
    <w:rsid w:val="00D5004B"/>
    <w:rsid w:val="00D6755C"/>
    <w:rsid w:val="00DA5930"/>
    <w:rsid w:val="00E42708"/>
    <w:rsid w:val="00E564C8"/>
    <w:rsid w:val="00E7372F"/>
    <w:rsid w:val="00E750FA"/>
    <w:rsid w:val="00E90AD4"/>
    <w:rsid w:val="00EF6019"/>
    <w:rsid w:val="00EF73DD"/>
    <w:rsid w:val="00F56ECC"/>
    <w:rsid w:val="00F57665"/>
    <w:rsid w:val="00F70760"/>
    <w:rsid w:val="00F80749"/>
    <w:rsid w:val="00F91D48"/>
    <w:rsid w:val="00FB12D2"/>
    <w:rsid w:val="00FB429C"/>
    <w:rsid w:val="00FC24D9"/>
    <w:rsid w:val="00FC6BB7"/>
    <w:rsid w:val="00FE46D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A0D02"/>
  <w15:chartTrackingRefBased/>
  <w15:docId w15:val="{A80892B1-A586-4F1C-A5F7-02C38B8BF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CD0231"/>
    <w:pPr>
      <w:ind w:left="720"/>
      <w:contextualSpacing/>
    </w:pPr>
  </w:style>
  <w:style w:type="character" w:styleId="Hiperpovezava">
    <w:name w:val="Hyperlink"/>
    <w:basedOn w:val="Privzetapisavaodstavka"/>
    <w:uiPriority w:val="99"/>
    <w:unhideWhenUsed/>
    <w:rsid w:val="002D320E"/>
    <w:rPr>
      <w:strike w:val="0"/>
      <w:dstrike w:val="0"/>
      <w:color w:val="52B562"/>
      <w:u w:val="none"/>
      <w:effect w:val="none"/>
      <w:shd w:val="clear" w:color="auto" w:fill="auto"/>
    </w:rPr>
  </w:style>
  <w:style w:type="paragraph" w:styleId="Glava">
    <w:name w:val="header"/>
    <w:basedOn w:val="Navaden"/>
    <w:link w:val="GlavaZnak"/>
    <w:uiPriority w:val="99"/>
    <w:unhideWhenUsed/>
    <w:rsid w:val="002D320E"/>
    <w:pPr>
      <w:tabs>
        <w:tab w:val="center" w:pos="4536"/>
        <w:tab w:val="right" w:pos="9072"/>
      </w:tabs>
      <w:spacing w:after="0" w:line="240" w:lineRule="auto"/>
    </w:pPr>
  </w:style>
  <w:style w:type="character" w:customStyle="1" w:styleId="GlavaZnak">
    <w:name w:val="Glava Znak"/>
    <w:basedOn w:val="Privzetapisavaodstavka"/>
    <w:link w:val="Glava"/>
    <w:uiPriority w:val="99"/>
    <w:rsid w:val="002D320E"/>
  </w:style>
  <w:style w:type="paragraph" w:styleId="Noga">
    <w:name w:val="footer"/>
    <w:basedOn w:val="Navaden"/>
    <w:link w:val="NogaZnak"/>
    <w:uiPriority w:val="99"/>
    <w:unhideWhenUsed/>
    <w:rsid w:val="002D320E"/>
    <w:pPr>
      <w:tabs>
        <w:tab w:val="center" w:pos="4536"/>
        <w:tab w:val="right" w:pos="9072"/>
      </w:tabs>
      <w:spacing w:after="0" w:line="240" w:lineRule="auto"/>
    </w:pPr>
  </w:style>
  <w:style w:type="character" w:customStyle="1" w:styleId="NogaZnak">
    <w:name w:val="Noga Znak"/>
    <w:basedOn w:val="Privzetapisavaodstavka"/>
    <w:link w:val="Noga"/>
    <w:uiPriority w:val="99"/>
    <w:rsid w:val="002D320E"/>
  </w:style>
  <w:style w:type="paragraph" w:styleId="Besedilooblaka">
    <w:name w:val="Balloon Text"/>
    <w:basedOn w:val="Navaden"/>
    <w:link w:val="BesedilooblakaZnak"/>
    <w:uiPriority w:val="99"/>
    <w:semiHidden/>
    <w:unhideWhenUsed/>
    <w:rsid w:val="00314580"/>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145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45823">
      <w:bodyDiv w:val="1"/>
      <w:marLeft w:val="0"/>
      <w:marRight w:val="0"/>
      <w:marTop w:val="0"/>
      <w:marBottom w:val="0"/>
      <w:divBdr>
        <w:top w:val="none" w:sz="0" w:space="0" w:color="auto"/>
        <w:left w:val="none" w:sz="0" w:space="0" w:color="auto"/>
        <w:bottom w:val="none" w:sz="0" w:space="0" w:color="auto"/>
        <w:right w:val="none" w:sz="0" w:space="0" w:color="auto"/>
      </w:divBdr>
    </w:div>
    <w:div w:id="827987447">
      <w:bodyDiv w:val="1"/>
      <w:marLeft w:val="0"/>
      <w:marRight w:val="0"/>
      <w:marTop w:val="0"/>
      <w:marBottom w:val="0"/>
      <w:divBdr>
        <w:top w:val="none" w:sz="0" w:space="0" w:color="auto"/>
        <w:left w:val="none" w:sz="0" w:space="0" w:color="auto"/>
        <w:bottom w:val="none" w:sz="0" w:space="0" w:color="auto"/>
        <w:right w:val="none" w:sz="0" w:space="0" w:color="auto"/>
      </w:divBdr>
    </w:div>
    <w:div w:id="12934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lex-localis.info/KatalogInformacij/PodrobnostiDokumenta.aspx?SectionID=01af4bbf-75cf-4684-91de-5df50f9cd090"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15A50C6A3FF17459BB990F3FD61970B" ma:contentTypeVersion="13" ma:contentTypeDescription="Ustvari nov dokument." ma:contentTypeScope="" ma:versionID="a0cc2f6237963611b301922ce5ed2f84">
  <xsd:schema xmlns:xsd="http://www.w3.org/2001/XMLSchema" xmlns:xs="http://www.w3.org/2001/XMLSchema" xmlns:p="http://schemas.microsoft.com/office/2006/metadata/properties" xmlns:ns2="ddcedc31-1916-4465-8581-1ea4729dcce9" xmlns:ns3="03f73822-ef20-4430-a8b5-8459dafc19b9" targetNamespace="http://schemas.microsoft.com/office/2006/metadata/properties" ma:root="true" ma:fieldsID="526ed46cf61f7029046ca4a935743cda" ns2:_="" ns3:_="">
    <xsd:import namespace="ddcedc31-1916-4465-8581-1ea4729dcce9"/>
    <xsd:import namespace="03f73822-ef20-4430-a8b5-8459dafc19b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cedc31-1916-4465-8581-1ea4729dcc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Oznake slike" ma:readOnly="false" ma:fieldId="{5cf76f15-5ced-4ddc-b409-7134ff3c332f}" ma:taxonomyMulti="true" ma:sspId="8281db75-1524-49f7-87fe-14c808cac72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f73822-ef20-4430-a8b5-8459dafc19b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71575c5-e046-4561-b751-0e7c50686063}" ma:internalName="TaxCatchAll" ma:showField="CatchAllData" ma:web="03f73822-ef20-4430-a8b5-8459dafc19b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dcedc31-1916-4465-8581-1ea4729dcce9">
      <Terms xmlns="http://schemas.microsoft.com/office/infopath/2007/PartnerControls"/>
    </lcf76f155ced4ddcb4097134ff3c332f>
    <TaxCatchAll xmlns="03f73822-ef20-4430-a8b5-8459dafc19b9" xsi:nil="true"/>
  </documentManagement>
</p:properties>
</file>

<file path=customXml/itemProps1.xml><?xml version="1.0" encoding="utf-8"?>
<ds:datastoreItem xmlns:ds="http://schemas.openxmlformats.org/officeDocument/2006/customXml" ds:itemID="{CBEB4F3F-D697-4E00-8389-19A4636FDCC8}">
  <ds:schemaRefs>
    <ds:schemaRef ds:uri="http://schemas.microsoft.com/sharepoint/v3/contenttype/forms"/>
  </ds:schemaRefs>
</ds:datastoreItem>
</file>

<file path=customXml/itemProps2.xml><?xml version="1.0" encoding="utf-8"?>
<ds:datastoreItem xmlns:ds="http://schemas.openxmlformats.org/officeDocument/2006/customXml" ds:itemID="{23FCA280-96B3-4358-AECD-2ADEA2408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cedc31-1916-4465-8581-1ea4729dcce9"/>
    <ds:schemaRef ds:uri="03f73822-ef20-4430-a8b5-8459dafc1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A9BB8C-B89A-43C6-A8C9-7655B20CEA19}">
  <ds:schemaRefs>
    <ds:schemaRef ds:uri="http://schemas.microsoft.com/office/2006/metadata/properties"/>
    <ds:schemaRef ds:uri="http://schemas.microsoft.com/office/infopath/2007/PartnerControls"/>
    <ds:schemaRef ds:uri="ddcedc31-1916-4465-8581-1ea4729dcce9"/>
    <ds:schemaRef ds:uri="03f73822-ef20-4430-a8b5-8459dafc19b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1007</Words>
  <Characters>5740</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Urška Berlič</dc:creator>
  <cp:keywords/>
  <dc:description/>
  <cp:lastModifiedBy>Zdenka Frank</cp:lastModifiedBy>
  <cp:revision>2</cp:revision>
  <cp:lastPrinted>2023-06-14T07:22:00Z</cp:lastPrinted>
  <dcterms:created xsi:type="dcterms:W3CDTF">2023-06-14T08:43:00Z</dcterms:created>
  <dcterms:modified xsi:type="dcterms:W3CDTF">2023-06-14T08:43:00Z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0x010100015A50C6A3FF17459BB990F3FD61970B</vt:lpwstr>
  </property>
</Properties>
</file>